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Heading2"/>
        <w:jc w:val="center"/>
        <w:rPr>
          <w:rFonts w:ascii="Arial" w:hAnsi="Arial" w:cs="Arial"/>
          <w:caps/>
          <w:sz w:val="22"/>
          <w:szCs w:val="22"/>
        </w:rPr>
      </w:pPr>
    </w:p>
    <w:p w14:paraId="11219662" w14:textId="6B601383" w:rsidR="005070E3" w:rsidRPr="002C2B73" w:rsidRDefault="00BB2C41" w:rsidP="002C2B73">
      <w:pPr>
        <w:pStyle w:val="Heading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0A0D7C70">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38A50B74" w14:textId="71F5BE0E" w:rsidR="006C6E71" w:rsidRPr="003D0705" w:rsidRDefault="009A0A95" w:rsidP="003D0705">
                            <w:pPr>
                              <w:jc w:val="center"/>
                              <w:rPr>
                                <w:rFonts w:ascii="Arial" w:hAnsi="Arial" w:cs="Arial"/>
                                <w:sz w:val="22"/>
                                <w:szCs w:val="22"/>
                              </w:rPr>
                            </w:pPr>
                            <w:r w:rsidRPr="003D0705">
                              <w:rPr>
                                <w:rFonts w:ascii="Arial" w:hAnsi="Arial" w:cs="Arial"/>
                                <w:sz w:val="22"/>
                                <w:szCs w:val="22"/>
                              </w:rPr>
                              <w:t xml:space="preserve">Application of </w:t>
                            </w:r>
                            <w:r w:rsidR="00E37D58">
                              <w:rPr>
                                <w:rFonts w:ascii="Arial" w:hAnsi="Arial" w:cs="Arial"/>
                                <w:sz w:val="22"/>
                                <w:szCs w:val="22"/>
                              </w:rPr>
                              <w:t xml:space="preserve">the </w:t>
                            </w:r>
                            <w:r w:rsidRPr="003D0705">
                              <w:rPr>
                                <w:rFonts w:ascii="Arial" w:hAnsi="Arial" w:cs="Arial"/>
                                <w:sz w:val="22"/>
                                <w:szCs w:val="22"/>
                              </w:rPr>
                              <w:t xml:space="preserve">Canadian Dam Association Guidelines for </w:t>
                            </w:r>
                            <w:r w:rsidR="003D0705">
                              <w:rPr>
                                <w:rFonts w:ascii="Arial" w:hAnsi="Arial" w:cs="Arial"/>
                                <w:sz w:val="22"/>
                                <w:szCs w:val="22"/>
                              </w:rPr>
                              <w:br/>
                              <w:t xml:space="preserve">Identifying and Mitigating </w:t>
                            </w:r>
                            <w:r w:rsidRPr="003D0705">
                              <w:rPr>
                                <w:rFonts w:ascii="Arial" w:hAnsi="Arial" w:cs="Arial"/>
                                <w:sz w:val="22"/>
                                <w:szCs w:val="22"/>
                              </w:rPr>
                              <w:t xml:space="preserve">Public </w:t>
                            </w:r>
                            <w:r w:rsidR="003D0705" w:rsidRPr="003D0705">
                              <w:rPr>
                                <w:rFonts w:ascii="Arial" w:hAnsi="Arial" w:cs="Arial"/>
                                <w:sz w:val="22"/>
                                <w:szCs w:val="22"/>
                              </w:rPr>
                              <w:t xml:space="preserve">Safety </w:t>
                            </w:r>
                            <w:r w:rsidR="003D0705">
                              <w:rPr>
                                <w:rFonts w:ascii="Arial" w:hAnsi="Arial" w:cs="Arial"/>
                                <w:sz w:val="22"/>
                                <w:szCs w:val="22"/>
                              </w:rPr>
                              <w:t>Risks</w:t>
                            </w:r>
                            <w:r w:rsidR="00E37D58">
                              <w:rPr>
                                <w:rFonts w:ascii="Arial" w:hAnsi="Arial" w:cs="Arial"/>
                                <w:sz w:val="22"/>
                                <w:szCs w:val="22"/>
                              </w:rPr>
                              <w:t xml:space="preserve"> at Dams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" fillcolor="white [3201]" strokeweight=".5pt">
                <v:textbox>
                  <w:txbxContent>
                    <w:p w14:paraId="38A50B74" w14:textId="71F5BE0E" w:rsidR="006C6E71" w:rsidRPr="003D0705" w:rsidRDefault="009A0A95" w:rsidP="003D0705">
                      <w:pPr>
                        <w:jc w:val="center"/>
                        <w:rPr>
                          <w:rFonts w:ascii="Arial" w:hAnsi="Arial" w:cs="Arial"/>
                          <w:sz w:val="22"/>
                          <w:szCs w:val="22"/>
                        </w:rPr>
                      </w:pPr>
                      <w:r w:rsidRPr="003D0705">
                        <w:rPr>
                          <w:rFonts w:ascii="Arial" w:hAnsi="Arial" w:cs="Arial"/>
                          <w:sz w:val="22"/>
                          <w:szCs w:val="22"/>
                        </w:rPr>
                        <w:t xml:space="preserve">Application of </w:t>
                      </w:r>
                      <w:r w:rsidR="00E37D58">
                        <w:rPr>
                          <w:rFonts w:ascii="Arial" w:hAnsi="Arial" w:cs="Arial"/>
                          <w:sz w:val="22"/>
                          <w:szCs w:val="22"/>
                        </w:rPr>
                        <w:t xml:space="preserve">the </w:t>
                      </w:r>
                      <w:r w:rsidRPr="003D0705">
                        <w:rPr>
                          <w:rFonts w:ascii="Arial" w:hAnsi="Arial" w:cs="Arial"/>
                          <w:sz w:val="22"/>
                          <w:szCs w:val="22"/>
                        </w:rPr>
                        <w:t xml:space="preserve">Canadian Dam Association Guidelines for </w:t>
                      </w:r>
                      <w:r w:rsidR="003D0705">
                        <w:rPr>
                          <w:rFonts w:ascii="Arial" w:hAnsi="Arial" w:cs="Arial"/>
                          <w:sz w:val="22"/>
                          <w:szCs w:val="22"/>
                        </w:rPr>
                        <w:br/>
                        <w:t xml:space="preserve">Identifying and Mitigating </w:t>
                      </w:r>
                      <w:r w:rsidRPr="003D0705">
                        <w:rPr>
                          <w:rFonts w:ascii="Arial" w:hAnsi="Arial" w:cs="Arial"/>
                          <w:sz w:val="22"/>
                          <w:szCs w:val="22"/>
                        </w:rPr>
                        <w:t xml:space="preserve">Public </w:t>
                      </w:r>
                      <w:r w:rsidR="003D0705" w:rsidRPr="003D0705">
                        <w:rPr>
                          <w:rFonts w:ascii="Arial" w:hAnsi="Arial" w:cs="Arial"/>
                          <w:sz w:val="22"/>
                          <w:szCs w:val="22"/>
                        </w:rPr>
                        <w:t xml:space="preserve">Safety </w:t>
                      </w:r>
                      <w:r w:rsidR="003D0705">
                        <w:rPr>
                          <w:rFonts w:ascii="Arial" w:hAnsi="Arial" w:cs="Arial"/>
                          <w:sz w:val="22"/>
                          <w:szCs w:val="22"/>
                        </w:rPr>
                        <w:t>Risks</w:t>
                      </w:r>
                      <w:r w:rsidR="00E37D58">
                        <w:rPr>
                          <w:rFonts w:ascii="Arial" w:hAnsi="Arial" w:cs="Arial"/>
                          <w:sz w:val="22"/>
                          <w:szCs w:val="22"/>
                        </w:rPr>
                        <w:t xml:space="preserve"> at Dams</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3D0705"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3D0705">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117074" w14:textId="739FF9E4" w:rsidR="002C2B73" w:rsidRPr="006C6E71" w:rsidRDefault="003D0705" w:rsidP="00A80B7E">
                            <w:pPr>
                              <w:rPr>
                                <w:rFonts w:ascii="Arial" w:hAnsi="Arial" w:cs="Arial"/>
                                <w:sz w:val="22"/>
                                <w:szCs w:val="22"/>
                              </w:rPr>
                            </w:pPr>
                            <w:r>
                              <w:rPr>
                                <w:rFonts w:ascii="Arial" w:hAnsi="Arial" w:cs="Arial"/>
                                <w:sz w:val="22"/>
                                <w:szCs w:val="22"/>
                              </w:rPr>
                              <w:t xml:space="preserve">Greg Schellenberg, Hatch Ltd., 330 St. Mary Avenue – Unit 500, Winnipeg, Manitoba, Canada R3C 3Z5, +1 204 800 7346, </w:t>
                            </w:r>
                            <w:hyperlink r:id="rId7" w:history="1">
                              <w:r w:rsidRPr="004E12F0">
                                <w:rPr>
                                  <w:rStyle w:val="Hyperlink"/>
                                  <w:rFonts w:ascii="Arial" w:hAnsi="Arial" w:cs="Arial"/>
                                  <w:sz w:val="22"/>
                                  <w:szCs w:val="22"/>
                                </w:rPr>
                                <w:t>greg.schellenberg@hatch.com</w:t>
                              </w:r>
                            </w:hyperlink>
                            <w:r>
                              <w:rPr>
                                <w:rFonts w:ascii="Arial" w:hAnsi="Arial" w:cs="Arial"/>
                                <w:sz w:val="22"/>
                                <w:szCs w:val="2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0C117074" w14:textId="739FF9E4" w:rsidR="002C2B73" w:rsidRPr="006C6E71" w:rsidRDefault="003D0705" w:rsidP="00A80B7E">
                      <w:pPr>
                        <w:rPr>
                          <w:rFonts w:ascii="Arial" w:hAnsi="Arial" w:cs="Arial"/>
                          <w:sz w:val="22"/>
                          <w:szCs w:val="22"/>
                        </w:rPr>
                      </w:pPr>
                      <w:r>
                        <w:rPr>
                          <w:rFonts w:ascii="Arial" w:hAnsi="Arial" w:cs="Arial"/>
                          <w:sz w:val="22"/>
                          <w:szCs w:val="22"/>
                        </w:rPr>
                        <w:t xml:space="preserve">Greg Schellenberg, Hatch Ltd., 330 St. Mary Avenue – Unit 500, Winnipeg, Manitoba, Canada R3C 3Z5, +1 204 800 7346, </w:t>
                      </w:r>
                      <w:hyperlink r:id="rId8" w:history="1">
                        <w:r w:rsidRPr="004E12F0">
                          <w:rPr>
                            <w:rStyle w:val="Hyperlink"/>
                            <w:rFonts w:ascii="Arial" w:hAnsi="Arial" w:cs="Arial"/>
                            <w:sz w:val="22"/>
                            <w:szCs w:val="22"/>
                          </w:rPr>
                          <w:t>greg.schellenberg@hatch.com</w:t>
                        </w:r>
                      </w:hyperlink>
                      <w:r>
                        <w:rPr>
                          <w:rFonts w:ascii="Arial" w:hAnsi="Arial" w:cs="Arial"/>
                          <w:sz w:val="22"/>
                          <w:szCs w:val="22"/>
                        </w:rPr>
                        <w:t xml:space="preserve"> </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w:t>
      </w:r>
      <w:r w:rsidR="003B2EAF" w:rsidRPr="003D0705">
        <w:rPr>
          <w:rFonts w:ascii="Arial" w:hAnsi="Arial" w:cs="Arial"/>
          <w:b/>
          <w:bCs/>
          <w:sz w:val="22"/>
          <w:szCs w:val="22"/>
        </w:rPr>
        <w:t>YES</w:t>
      </w:r>
      <w:r w:rsidR="003B2EAF">
        <w:rPr>
          <w:rFonts w:ascii="Arial" w:hAnsi="Arial" w:cs="Arial"/>
          <w:sz w:val="22"/>
          <w:szCs w:val="22"/>
        </w:rPr>
        <w:t xml:space="preserve"> / NO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4BF444D3" w14:textId="1E0C0B78"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4BF444D3" w14:textId="1E0C0B78" w:rsidR="002C2B73" w:rsidRPr="006C6E71" w:rsidRDefault="002C2B73" w:rsidP="002C2B73">
                      <w:pPr>
                        <w:rPr>
                          <w:rFonts w:ascii="Arial" w:hAnsi="Arial" w:cs="Arial"/>
                          <w:sz w:val="22"/>
                          <w:szCs w:val="22"/>
                        </w:rPr>
                      </w:pP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5A01B07A" w14:textId="77777777" w:rsidR="002C2B73" w:rsidRPr="006C6E71" w:rsidRDefault="002C2B73" w:rsidP="002C2B73">
                      <w:pPr>
                        <w:rPr>
                          <w:rFonts w:ascii="Arial" w:hAnsi="Arial" w:cs="Arial"/>
                          <w:sz w:val="22"/>
                          <w:szCs w:val="22"/>
                        </w:rPr>
                      </w:pP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QcOA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WFVR15WUO2QLgf7SfKWzxXCL5gPj8zh6CANuA7hAQ+pAXOCg0RJDe7v/+6jP3YUrZS0&#10;OIol9X82zAlK9E+DvR7lw2Gc3aQMr74NUHGXltWlxWyaGSBROS6e5UmM/kEfRemgecatmcaoaGKG&#10;Y+yShqM4C/sFwa3jYjpNTjitloWFWVoeoSPHkdan7pk5e2hrwIG4h+PQsuJVd/e+8aWB6SaAVKn1&#10;kec9qwf6cdJTdw5bGVfpUk9e53/H5B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m4wEHDgCAACDBAAADgAAAAAAAAAAAAAA&#10;AAAuAgAAZHJzL2Uyb0RvYy54bWxQSwECLQAUAAYACAAAACEAmad+ldsAAAAIAQAADwAAAAAAAAAA&#10;AAAAAACSBAAAZHJzL2Rvd25yZXYueG1sUEsFBgAAAAAEAAQA8wAAAJoFAAAAAA==&#10;" fillcolor="white [3201]" strokeweight=".5pt">
                <v:textbox>
                  <w:txbxContent>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Default="003B2EAF" w:rsidP="003B2EAF">
      <w:pPr>
        <w:ind w:left="144" w:right="144"/>
        <w:rPr>
          <w:rFonts w:ascii="Arial" w:hAnsi="Arial" w:cs="Arial"/>
          <w:bCs/>
          <w:sz w:val="22"/>
          <w:szCs w:val="22"/>
        </w:rPr>
      </w:pPr>
      <w:r>
        <w:rPr>
          <w:rFonts w:ascii="Arial" w:hAnsi="Arial" w:cs="Arial"/>
          <w:bCs/>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Pr="003D0705" w:rsidRDefault="003B2EAF" w:rsidP="003B2EAF">
      <w:pPr>
        <w:ind w:left="144" w:right="144"/>
        <w:rPr>
          <w:rFonts w:ascii="Arial" w:hAnsi="Arial" w:cs="Arial"/>
          <w:b/>
          <w:sz w:val="22"/>
          <w:szCs w:val="22"/>
        </w:rPr>
      </w:pPr>
      <w:r w:rsidRPr="003D0705">
        <w:rPr>
          <w:rFonts w:ascii="Arial" w:hAnsi="Arial" w:cs="Arial"/>
          <w:b/>
          <w:sz w:val="22"/>
          <w:szCs w:val="22"/>
        </w:rPr>
        <w:t xml:space="preserve">PRESENTATION ONLY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7369B4D6" w14:textId="56C6275E" w:rsidR="006C6E71" w:rsidRPr="006C6E71" w:rsidRDefault="003D0705" w:rsidP="008D4F02">
                            <w:pPr>
                              <w:rPr>
                                <w:rFonts w:ascii="Arial" w:hAnsi="Arial" w:cs="Arial"/>
                                <w:sz w:val="22"/>
                                <w:szCs w:val="22"/>
                              </w:rPr>
                            </w:pPr>
                            <w:r w:rsidRPr="003D0705">
                              <w:rPr>
                                <w:rFonts w:ascii="Arial" w:hAnsi="Arial" w:cs="Arial"/>
                                <w:sz w:val="22"/>
                                <w:szCs w:val="22"/>
                              </w:rPr>
                              <w:t xml:space="preserve">Dams provide an opportunity for the public to access and utilize </w:t>
                            </w:r>
                            <w:r w:rsidR="001275CB" w:rsidRPr="003D0705">
                              <w:rPr>
                                <w:rFonts w:ascii="Arial" w:hAnsi="Arial" w:cs="Arial"/>
                                <w:sz w:val="22"/>
                                <w:szCs w:val="22"/>
                              </w:rPr>
                              <w:t>waterways,</w:t>
                            </w:r>
                            <w:r w:rsidRPr="003D0705">
                              <w:rPr>
                                <w:rFonts w:ascii="Arial" w:hAnsi="Arial" w:cs="Arial"/>
                                <w:sz w:val="22"/>
                                <w:szCs w:val="22"/>
                              </w:rPr>
                              <w:t xml:space="preserve"> but they also pose a range of hazards that are not always readily apparent. Fast-moving water, submerged structures, steep slopes, and thin ice are examples of common hazards at a dam. Public presence at a dam may combine with the hazards to constitute a significant risk that must be managed by the dam owner. The Canadian Dam Association (CDA) Guidelines for Public Safety Around Dams (PSAD) describe how a dam owner is responsible for identifying, evaluating, and mitigating the public safety risks caused by the presence and operation of their facility. The Guidelines provide details on defining policies and objectives, systematically assessing existing risks, developing and implementing risk mitigation control measures, and monitoring the effectiveness of these measures. Hatch has applied the Guidelines in performing risk assessments and preparing PSAD Management Plans for dam owners across Canada at more than 80 sites. Hatch’s team has learned that successful application of the Guidelines begins with the dam owner developing a clear understanding of their risk tolerance. Additionally, the assessors should have a good understanding of site-specific hazards and patterns of public interaction; participation of dam operators is crucial for conducting an effective risk assessment. Finally, mitigating PSAD risks requires the development and implementation of control measures that balance practicality and expected effectiveness. Ensuring public safety at a dam depends on the owner thoughtfully developing and continually improving their PSAD management system.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9yHOQIAAIQ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" fillcolor="white [3201]" strokeweight=".5pt">
                <v:textbox>
                  <w:txbxContent>
                    <w:p w14:paraId="7369B4D6" w14:textId="56C6275E" w:rsidR="006C6E71" w:rsidRPr="006C6E71" w:rsidRDefault="003D0705" w:rsidP="008D4F02">
                      <w:pPr>
                        <w:rPr>
                          <w:rFonts w:ascii="Arial" w:hAnsi="Arial" w:cs="Arial"/>
                          <w:sz w:val="22"/>
                          <w:szCs w:val="22"/>
                        </w:rPr>
                      </w:pPr>
                      <w:r w:rsidRPr="003D0705">
                        <w:rPr>
                          <w:rFonts w:ascii="Arial" w:hAnsi="Arial" w:cs="Arial"/>
                          <w:sz w:val="22"/>
                          <w:szCs w:val="22"/>
                        </w:rPr>
                        <w:t xml:space="preserve">Dams provide an opportunity for the public to access and utilize </w:t>
                      </w:r>
                      <w:r w:rsidR="001275CB" w:rsidRPr="003D0705">
                        <w:rPr>
                          <w:rFonts w:ascii="Arial" w:hAnsi="Arial" w:cs="Arial"/>
                          <w:sz w:val="22"/>
                          <w:szCs w:val="22"/>
                        </w:rPr>
                        <w:t>waterways,</w:t>
                      </w:r>
                      <w:r w:rsidRPr="003D0705">
                        <w:rPr>
                          <w:rFonts w:ascii="Arial" w:hAnsi="Arial" w:cs="Arial"/>
                          <w:sz w:val="22"/>
                          <w:szCs w:val="22"/>
                        </w:rPr>
                        <w:t xml:space="preserve"> but they also pose a range of hazards that are not always readily apparent. Fast-moving water, submerged structures, steep slopes, and thin ice are examples of common hazards at a dam. Public presence at a dam may combine with the hazards to constitute a significant risk that must be managed by the dam owner. The Canadian Dam Association (CDA) Guidelines for Public Safety Around Dams (PSAD) describe how a dam owner is responsible for identifying, evaluating, and mitigating the public safety risks caused by the presence and operation of their facility. The Guidelines provide details on defining policies and objectives, systematically assessing existing risks, developing and implementing risk mitigation control measures, and monitoring the effectiveness of these measures. Hatch has applied the Guidelines in performing risk assessments and preparing PSAD Management Plans for dam owners across Canada at more than 80 sites. Hatch’s team has learned that successful application of the Guidelines begins with the dam owner developing a clear understanding of their risk tolerance. Additionally, the assessors should have a good understanding of site-specific hazards and patterns of public interaction; participation of dam operators is crucial for conducting an effective risk assessment. Finally, mitigating PSAD risks requires the development and implementation of control measures that balance practicality and expected effectiveness. Ensuring public safety at a dam depends on the owner thoughtfully developing and continually improving their PSAD management system.</w:t>
                      </w: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35223FCB">
                <wp:simplePos x="0" y="0"/>
                <wp:positionH relativeFrom="column">
                  <wp:posOffset>19050</wp:posOffset>
                </wp:positionH>
                <wp:positionV relativeFrom="paragraph">
                  <wp:posOffset>118744</wp:posOffset>
                </wp:positionV>
                <wp:extent cx="6324600" cy="376237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3762375"/>
                        </a:xfrm>
                        <a:prstGeom prst="rect">
                          <a:avLst/>
                        </a:prstGeom>
                        <a:solidFill>
                          <a:schemeClr val="lt1"/>
                        </a:solidFill>
                        <a:ln w="6350">
                          <a:solidFill>
                            <a:prstClr val="black"/>
                          </a:solidFill>
                        </a:ln>
                      </wps:spPr>
                      <wps:txbx>
                        <w:txbxContent>
                          <w:p w14:paraId="7B77D9E6" w14:textId="6B97B2C7" w:rsidR="006176B1" w:rsidRPr="00DE7D4F" w:rsidRDefault="00DE7D4F" w:rsidP="00DE7D4F">
                            <w:pPr>
                              <w:rPr>
                                <w:rFonts w:ascii="Arial" w:hAnsi="Arial" w:cs="Arial"/>
                                <w:sz w:val="22"/>
                                <w:szCs w:val="22"/>
                                <w:lang w:val="es-MX"/>
                              </w:rPr>
                            </w:pPr>
                            <w:r w:rsidRPr="00DE7D4F">
                              <w:rPr>
                                <w:rFonts w:ascii="Arial" w:hAnsi="Arial" w:cs="Arial"/>
                                <w:sz w:val="22"/>
                                <w:szCs w:val="22"/>
                                <w:lang w:val="es-MX"/>
                              </w:rPr>
                              <w:t xml:space="preserve">Las represas ofrecen una oportunidad para que el público acceda y utilice las vías fluviales, pero también presentan una </w:t>
                            </w:r>
                            <w:r w:rsidR="0079124B">
                              <w:rPr>
                                <w:rFonts w:ascii="Arial" w:hAnsi="Arial" w:cs="Arial"/>
                                <w:sz w:val="22"/>
                                <w:szCs w:val="22"/>
                                <w:lang w:val="es-MX"/>
                              </w:rPr>
                              <w:t>serie</w:t>
                            </w:r>
                            <w:r w:rsidRPr="00DE7D4F">
                              <w:rPr>
                                <w:rFonts w:ascii="Arial" w:hAnsi="Arial" w:cs="Arial"/>
                                <w:sz w:val="22"/>
                                <w:szCs w:val="22"/>
                                <w:lang w:val="es-MX"/>
                              </w:rPr>
                              <w:t xml:space="preserve"> de peligros que no siempre son evidentes. Las </w:t>
                            </w:r>
                            <w:r w:rsidR="0052561C">
                              <w:rPr>
                                <w:rFonts w:ascii="Arial" w:hAnsi="Arial" w:cs="Arial"/>
                                <w:sz w:val="22"/>
                                <w:szCs w:val="22"/>
                                <w:lang w:val="es-MX"/>
                              </w:rPr>
                              <w:t xml:space="preserve">corrientes </w:t>
                            </w:r>
                            <w:proofErr w:type="spellStart"/>
                            <w:r w:rsidR="0052561C">
                              <w:rPr>
                                <w:rFonts w:ascii="Arial" w:hAnsi="Arial" w:cs="Arial"/>
                                <w:sz w:val="22"/>
                                <w:szCs w:val="22"/>
                                <w:lang w:val="es-MX"/>
                              </w:rPr>
                              <w:t>rapidas</w:t>
                            </w:r>
                            <w:proofErr w:type="spellEnd"/>
                            <w:r w:rsidRPr="00DE7D4F">
                              <w:rPr>
                                <w:rFonts w:ascii="Arial" w:hAnsi="Arial" w:cs="Arial"/>
                                <w:sz w:val="22"/>
                                <w:szCs w:val="22"/>
                                <w:lang w:val="es-MX"/>
                              </w:rPr>
                              <w:t>, las estructuras sumergidas, las pendientes pronunciadas y el hielo delgado son ejemplos de peligros comunes en una represa. La presencia del público en una represa puede combinarse con estos peligros y constituir un riesgo significativo que debe ser gestionado por el propietario de la represa.</w:t>
                            </w:r>
                            <w:r w:rsidR="00A45574">
                              <w:rPr>
                                <w:rFonts w:ascii="Arial" w:hAnsi="Arial" w:cs="Arial"/>
                                <w:sz w:val="22"/>
                                <w:szCs w:val="22"/>
                                <w:lang w:val="es-MX"/>
                              </w:rPr>
                              <w:t xml:space="preserve"> </w:t>
                            </w:r>
                            <w:r w:rsidR="0052561C" w:rsidRPr="0052561C">
                              <w:rPr>
                                <w:rFonts w:ascii="Arial" w:hAnsi="Arial" w:cs="Arial"/>
                                <w:sz w:val="22"/>
                                <w:szCs w:val="22"/>
                                <w:lang w:val="en-CA"/>
                              </w:rPr>
                              <w:t xml:space="preserve">La </w:t>
                            </w:r>
                            <w:proofErr w:type="spellStart"/>
                            <w:r w:rsidR="0052561C" w:rsidRPr="0052561C">
                              <w:rPr>
                                <w:rFonts w:ascii="Arial" w:hAnsi="Arial" w:cs="Arial"/>
                                <w:sz w:val="22"/>
                                <w:szCs w:val="22"/>
                                <w:lang w:val="en-CA"/>
                              </w:rPr>
                              <w:t>asociacion</w:t>
                            </w:r>
                            <w:proofErr w:type="spellEnd"/>
                            <w:r w:rsidR="0052561C" w:rsidRPr="0052561C">
                              <w:rPr>
                                <w:rFonts w:ascii="Arial" w:hAnsi="Arial" w:cs="Arial"/>
                                <w:sz w:val="22"/>
                                <w:szCs w:val="22"/>
                                <w:lang w:val="en-CA"/>
                              </w:rPr>
                              <w:t xml:space="preserve"> </w:t>
                            </w:r>
                            <w:proofErr w:type="spellStart"/>
                            <w:r w:rsidR="0052561C" w:rsidRPr="0052561C">
                              <w:rPr>
                                <w:rFonts w:ascii="Arial" w:hAnsi="Arial" w:cs="Arial"/>
                                <w:sz w:val="22"/>
                                <w:szCs w:val="22"/>
                                <w:lang w:val="en-CA"/>
                              </w:rPr>
                              <w:t>canadience</w:t>
                            </w:r>
                            <w:proofErr w:type="spellEnd"/>
                            <w:r w:rsidR="0052561C" w:rsidRPr="0052561C">
                              <w:rPr>
                                <w:rFonts w:ascii="Arial" w:hAnsi="Arial" w:cs="Arial"/>
                                <w:sz w:val="22"/>
                                <w:szCs w:val="22"/>
                                <w:lang w:val="en-CA"/>
                              </w:rPr>
                              <w:t xml:space="preserve"> de </w:t>
                            </w:r>
                            <w:proofErr w:type="spellStart"/>
                            <w:r w:rsidR="0052561C" w:rsidRPr="0052561C">
                              <w:rPr>
                                <w:rFonts w:ascii="Arial" w:hAnsi="Arial" w:cs="Arial"/>
                                <w:sz w:val="22"/>
                                <w:szCs w:val="22"/>
                                <w:lang w:val="en-CA"/>
                              </w:rPr>
                              <w:t>represas</w:t>
                            </w:r>
                            <w:proofErr w:type="spellEnd"/>
                            <w:r w:rsidR="0052561C" w:rsidRPr="0052561C">
                              <w:rPr>
                                <w:rFonts w:ascii="Arial" w:hAnsi="Arial" w:cs="Arial"/>
                                <w:sz w:val="22"/>
                                <w:szCs w:val="22"/>
                                <w:lang w:val="en-CA"/>
                              </w:rPr>
                              <w:t xml:space="preserve"> (CDA) y sus directrices para la </w:t>
                            </w:r>
                            <w:proofErr w:type="spellStart"/>
                            <w:r w:rsidR="0052561C" w:rsidRPr="0052561C">
                              <w:rPr>
                                <w:rFonts w:ascii="Arial" w:hAnsi="Arial" w:cs="Arial"/>
                                <w:sz w:val="22"/>
                                <w:szCs w:val="22"/>
                                <w:lang w:val="en-CA"/>
                              </w:rPr>
                              <w:t>seguridad</w:t>
                            </w:r>
                            <w:proofErr w:type="spellEnd"/>
                            <w:r w:rsidR="0052561C" w:rsidRPr="0052561C">
                              <w:rPr>
                                <w:rFonts w:ascii="Arial" w:hAnsi="Arial" w:cs="Arial"/>
                                <w:sz w:val="22"/>
                                <w:szCs w:val="22"/>
                                <w:lang w:val="en-CA"/>
                              </w:rPr>
                              <w:t xml:space="preserve"> publica </w:t>
                            </w:r>
                            <w:proofErr w:type="spellStart"/>
                            <w:r w:rsidR="0052561C" w:rsidRPr="0052561C">
                              <w:rPr>
                                <w:rFonts w:ascii="Arial" w:hAnsi="Arial" w:cs="Arial"/>
                                <w:sz w:val="22"/>
                                <w:szCs w:val="22"/>
                                <w:lang w:val="en-CA"/>
                              </w:rPr>
                              <w:t>en</w:t>
                            </w:r>
                            <w:proofErr w:type="spellEnd"/>
                            <w:r w:rsidR="0052561C" w:rsidRPr="0052561C">
                              <w:rPr>
                                <w:rFonts w:ascii="Arial" w:hAnsi="Arial" w:cs="Arial"/>
                                <w:sz w:val="22"/>
                                <w:szCs w:val="22"/>
                                <w:lang w:val="en-CA"/>
                              </w:rPr>
                              <w:t xml:space="preserve"> </w:t>
                            </w:r>
                            <w:proofErr w:type="spellStart"/>
                            <w:r w:rsidR="0052561C" w:rsidRPr="0052561C">
                              <w:rPr>
                                <w:rFonts w:ascii="Arial" w:hAnsi="Arial" w:cs="Arial"/>
                                <w:sz w:val="22"/>
                                <w:szCs w:val="22"/>
                                <w:lang w:val="en-CA"/>
                              </w:rPr>
                              <w:t>torno</w:t>
                            </w:r>
                            <w:proofErr w:type="spellEnd"/>
                            <w:r w:rsidR="0052561C" w:rsidRPr="0052561C">
                              <w:rPr>
                                <w:rFonts w:ascii="Arial" w:hAnsi="Arial" w:cs="Arial"/>
                                <w:sz w:val="22"/>
                                <w:szCs w:val="22"/>
                                <w:lang w:val="en-CA"/>
                              </w:rPr>
                              <w:t xml:space="preserve"> a las </w:t>
                            </w:r>
                            <w:proofErr w:type="spellStart"/>
                            <w:r w:rsidR="0052561C" w:rsidRPr="0052561C">
                              <w:rPr>
                                <w:rFonts w:ascii="Arial" w:hAnsi="Arial" w:cs="Arial"/>
                                <w:sz w:val="22"/>
                                <w:szCs w:val="22"/>
                                <w:lang w:val="en-CA"/>
                              </w:rPr>
                              <w:t>represas</w:t>
                            </w:r>
                            <w:proofErr w:type="spellEnd"/>
                            <w:r w:rsidR="0052561C">
                              <w:rPr>
                                <w:rFonts w:ascii="Arial" w:hAnsi="Arial" w:cs="Arial"/>
                                <w:sz w:val="22"/>
                                <w:szCs w:val="22"/>
                                <w:lang w:val="en-CA"/>
                              </w:rPr>
                              <w:t xml:space="preserve"> </w:t>
                            </w:r>
                            <w:r w:rsidRPr="00DE7D4F">
                              <w:rPr>
                                <w:rFonts w:ascii="Arial" w:hAnsi="Arial" w:cs="Arial"/>
                                <w:sz w:val="22"/>
                                <w:szCs w:val="22"/>
                                <w:lang w:val="es-MX"/>
                              </w:rPr>
                              <w:t>describen cómo el propietario de una represa es responsable de identificar, evaluar y mitigar los riesgos para la seguridad pública causados por la presencia y operación de su instalación. Las directrices proporcionan detalles sobre cómo definir políticas y objetivos, evaluar sistemáticamente los riesgos existentes, desarrollar e implementar medidas de control para mitigar riesgos, y monitorear la efectividad de dichas medidas. Hatch ha aplicado estas directrices al realizar evaluaciones de riesgos y preparar planes de gestión para propietarios de represas en más de 80 sitios en todo Canadá. El equipo de Hatch ha aprendido que la aplicación exitosa de las directrices comienza con que el propietario de la represa desarrolle una comprensión clara de su tolerancia al riesgo. Además, los evaluadores deben tener un buen entendimiento de los peligros específicos del sitio y de los patrones de interacción del público; la participación de los operadores de la represa es crucial para llevar a cabo una evaluación de riesgos efectiva. Finalmente, mitigar los riesgos requiere el desarrollo e implementación de medidas de control que equilibren la practicidad con la efectividad esperada. Garantizar la seguridad pública en una represa depende de que el propietario desarrolle cuidadosamente y mejore continuamente su sistema de gestión</w:t>
                            </w:r>
                            <w:r w:rsidR="00A45574">
                              <w:rPr>
                                <w:rFonts w:ascii="Arial" w:hAnsi="Arial" w:cs="Arial"/>
                                <w:sz w:val="22"/>
                                <w:szCs w:val="22"/>
                                <w:lang w:val="es-MX"/>
                              </w:rPr>
                              <w:t xml:space="preserve"> de </w:t>
                            </w:r>
                            <w:proofErr w:type="spellStart"/>
                            <w:r w:rsidR="00A45574">
                              <w:rPr>
                                <w:rFonts w:ascii="Arial" w:hAnsi="Arial" w:cs="Arial"/>
                                <w:sz w:val="22"/>
                                <w:szCs w:val="22"/>
                                <w:lang w:val="es-MX"/>
                              </w:rPr>
                              <w:t>riezgo</w:t>
                            </w:r>
                            <w:proofErr w:type="spellEnd"/>
                            <w:r w:rsidRPr="00DE7D4F">
                              <w:rPr>
                                <w:rFonts w:ascii="Arial" w:hAnsi="Arial" w:cs="Arial"/>
                                <w:sz w:val="22"/>
                                <w:szCs w:val="22"/>
                                <w:lang w:val="es-MX"/>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5pt;margin-top:9.35pt;width:498pt;height:29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" fillcolor="white [3201]" strokeweight=".5pt">
                <v:textbox>
                  <w:txbxContent>
                    <w:p w14:paraId="7B77D9E6" w14:textId="6B97B2C7" w:rsidR="006176B1" w:rsidRPr="00DE7D4F" w:rsidRDefault="00DE7D4F" w:rsidP="00DE7D4F">
                      <w:pPr>
                        <w:rPr>
                          <w:rFonts w:ascii="Arial" w:hAnsi="Arial" w:cs="Arial"/>
                          <w:sz w:val="22"/>
                          <w:szCs w:val="22"/>
                          <w:lang w:val="es-MX"/>
                        </w:rPr>
                      </w:pPr>
                      <w:r w:rsidRPr="00DE7D4F">
                        <w:rPr>
                          <w:rFonts w:ascii="Arial" w:hAnsi="Arial" w:cs="Arial"/>
                          <w:sz w:val="22"/>
                          <w:szCs w:val="22"/>
                          <w:lang w:val="es-MX"/>
                        </w:rPr>
                        <w:t xml:space="preserve">Las represas ofrecen una oportunidad para que el público acceda y utilice las vías fluviales, pero también presentan una </w:t>
                      </w:r>
                      <w:r w:rsidR="0079124B">
                        <w:rPr>
                          <w:rFonts w:ascii="Arial" w:hAnsi="Arial" w:cs="Arial"/>
                          <w:sz w:val="22"/>
                          <w:szCs w:val="22"/>
                          <w:lang w:val="es-MX"/>
                        </w:rPr>
                        <w:t>serie</w:t>
                      </w:r>
                      <w:r w:rsidRPr="00DE7D4F">
                        <w:rPr>
                          <w:rFonts w:ascii="Arial" w:hAnsi="Arial" w:cs="Arial"/>
                          <w:sz w:val="22"/>
                          <w:szCs w:val="22"/>
                          <w:lang w:val="es-MX"/>
                        </w:rPr>
                        <w:t xml:space="preserve"> de peligros que no siempre son evidentes. Las </w:t>
                      </w:r>
                      <w:r w:rsidR="0052561C">
                        <w:rPr>
                          <w:rFonts w:ascii="Arial" w:hAnsi="Arial" w:cs="Arial"/>
                          <w:sz w:val="22"/>
                          <w:szCs w:val="22"/>
                          <w:lang w:val="es-MX"/>
                        </w:rPr>
                        <w:t xml:space="preserve">corrientes </w:t>
                      </w:r>
                      <w:proofErr w:type="spellStart"/>
                      <w:r w:rsidR="0052561C">
                        <w:rPr>
                          <w:rFonts w:ascii="Arial" w:hAnsi="Arial" w:cs="Arial"/>
                          <w:sz w:val="22"/>
                          <w:szCs w:val="22"/>
                          <w:lang w:val="es-MX"/>
                        </w:rPr>
                        <w:t>rapidas</w:t>
                      </w:r>
                      <w:proofErr w:type="spellEnd"/>
                      <w:r w:rsidRPr="00DE7D4F">
                        <w:rPr>
                          <w:rFonts w:ascii="Arial" w:hAnsi="Arial" w:cs="Arial"/>
                          <w:sz w:val="22"/>
                          <w:szCs w:val="22"/>
                          <w:lang w:val="es-MX"/>
                        </w:rPr>
                        <w:t>, las estructuras sumergidas, las pendientes pronunciadas y el hielo delgado son ejemplos de peligros comunes en una represa. La presencia del público en una represa puede combinarse con estos peligros y constituir un riesgo significativo que debe ser gestionado por el propietario de la represa.</w:t>
                      </w:r>
                      <w:r w:rsidR="00A45574">
                        <w:rPr>
                          <w:rFonts w:ascii="Arial" w:hAnsi="Arial" w:cs="Arial"/>
                          <w:sz w:val="22"/>
                          <w:szCs w:val="22"/>
                          <w:lang w:val="es-MX"/>
                        </w:rPr>
                        <w:t xml:space="preserve"> </w:t>
                      </w:r>
                      <w:r w:rsidR="0052561C" w:rsidRPr="0052561C">
                        <w:rPr>
                          <w:rFonts w:ascii="Arial" w:hAnsi="Arial" w:cs="Arial"/>
                          <w:sz w:val="22"/>
                          <w:szCs w:val="22"/>
                          <w:lang w:val="en-CA"/>
                        </w:rPr>
                        <w:t xml:space="preserve">La </w:t>
                      </w:r>
                      <w:proofErr w:type="spellStart"/>
                      <w:r w:rsidR="0052561C" w:rsidRPr="0052561C">
                        <w:rPr>
                          <w:rFonts w:ascii="Arial" w:hAnsi="Arial" w:cs="Arial"/>
                          <w:sz w:val="22"/>
                          <w:szCs w:val="22"/>
                          <w:lang w:val="en-CA"/>
                        </w:rPr>
                        <w:t>asociacion</w:t>
                      </w:r>
                      <w:proofErr w:type="spellEnd"/>
                      <w:r w:rsidR="0052561C" w:rsidRPr="0052561C">
                        <w:rPr>
                          <w:rFonts w:ascii="Arial" w:hAnsi="Arial" w:cs="Arial"/>
                          <w:sz w:val="22"/>
                          <w:szCs w:val="22"/>
                          <w:lang w:val="en-CA"/>
                        </w:rPr>
                        <w:t xml:space="preserve"> </w:t>
                      </w:r>
                      <w:proofErr w:type="spellStart"/>
                      <w:r w:rsidR="0052561C" w:rsidRPr="0052561C">
                        <w:rPr>
                          <w:rFonts w:ascii="Arial" w:hAnsi="Arial" w:cs="Arial"/>
                          <w:sz w:val="22"/>
                          <w:szCs w:val="22"/>
                          <w:lang w:val="en-CA"/>
                        </w:rPr>
                        <w:t>canadience</w:t>
                      </w:r>
                      <w:proofErr w:type="spellEnd"/>
                      <w:r w:rsidR="0052561C" w:rsidRPr="0052561C">
                        <w:rPr>
                          <w:rFonts w:ascii="Arial" w:hAnsi="Arial" w:cs="Arial"/>
                          <w:sz w:val="22"/>
                          <w:szCs w:val="22"/>
                          <w:lang w:val="en-CA"/>
                        </w:rPr>
                        <w:t xml:space="preserve"> de </w:t>
                      </w:r>
                      <w:proofErr w:type="spellStart"/>
                      <w:r w:rsidR="0052561C" w:rsidRPr="0052561C">
                        <w:rPr>
                          <w:rFonts w:ascii="Arial" w:hAnsi="Arial" w:cs="Arial"/>
                          <w:sz w:val="22"/>
                          <w:szCs w:val="22"/>
                          <w:lang w:val="en-CA"/>
                        </w:rPr>
                        <w:t>represas</w:t>
                      </w:r>
                      <w:proofErr w:type="spellEnd"/>
                      <w:r w:rsidR="0052561C" w:rsidRPr="0052561C">
                        <w:rPr>
                          <w:rFonts w:ascii="Arial" w:hAnsi="Arial" w:cs="Arial"/>
                          <w:sz w:val="22"/>
                          <w:szCs w:val="22"/>
                          <w:lang w:val="en-CA"/>
                        </w:rPr>
                        <w:t xml:space="preserve"> (CDA) y sus directrices para la </w:t>
                      </w:r>
                      <w:proofErr w:type="spellStart"/>
                      <w:r w:rsidR="0052561C" w:rsidRPr="0052561C">
                        <w:rPr>
                          <w:rFonts w:ascii="Arial" w:hAnsi="Arial" w:cs="Arial"/>
                          <w:sz w:val="22"/>
                          <w:szCs w:val="22"/>
                          <w:lang w:val="en-CA"/>
                        </w:rPr>
                        <w:t>seguridad</w:t>
                      </w:r>
                      <w:proofErr w:type="spellEnd"/>
                      <w:r w:rsidR="0052561C" w:rsidRPr="0052561C">
                        <w:rPr>
                          <w:rFonts w:ascii="Arial" w:hAnsi="Arial" w:cs="Arial"/>
                          <w:sz w:val="22"/>
                          <w:szCs w:val="22"/>
                          <w:lang w:val="en-CA"/>
                        </w:rPr>
                        <w:t xml:space="preserve"> publica </w:t>
                      </w:r>
                      <w:proofErr w:type="spellStart"/>
                      <w:r w:rsidR="0052561C" w:rsidRPr="0052561C">
                        <w:rPr>
                          <w:rFonts w:ascii="Arial" w:hAnsi="Arial" w:cs="Arial"/>
                          <w:sz w:val="22"/>
                          <w:szCs w:val="22"/>
                          <w:lang w:val="en-CA"/>
                        </w:rPr>
                        <w:t>en</w:t>
                      </w:r>
                      <w:proofErr w:type="spellEnd"/>
                      <w:r w:rsidR="0052561C" w:rsidRPr="0052561C">
                        <w:rPr>
                          <w:rFonts w:ascii="Arial" w:hAnsi="Arial" w:cs="Arial"/>
                          <w:sz w:val="22"/>
                          <w:szCs w:val="22"/>
                          <w:lang w:val="en-CA"/>
                        </w:rPr>
                        <w:t xml:space="preserve"> </w:t>
                      </w:r>
                      <w:proofErr w:type="spellStart"/>
                      <w:r w:rsidR="0052561C" w:rsidRPr="0052561C">
                        <w:rPr>
                          <w:rFonts w:ascii="Arial" w:hAnsi="Arial" w:cs="Arial"/>
                          <w:sz w:val="22"/>
                          <w:szCs w:val="22"/>
                          <w:lang w:val="en-CA"/>
                        </w:rPr>
                        <w:t>torno</w:t>
                      </w:r>
                      <w:proofErr w:type="spellEnd"/>
                      <w:r w:rsidR="0052561C" w:rsidRPr="0052561C">
                        <w:rPr>
                          <w:rFonts w:ascii="Arial" w:hAnsi="Arial" w:cs="Arial"/>
                          <w:sz w:val="22"/>
                          <w:szCs w:val="22"/>
                          <w:lang w:val="en-CA"/>
                        </w:rPr>
                        <w:t xml:space="preserve"> a las </w:t>
                      </w:r>
                      <w:proofErr w:type="spellStart"/>
                      <w:r w:rsidR="0052561C" w:rsidRPr="0052561C">
                        <w:rPr>
                          <w:rFonts w:ascii="Arial" w:hAnsi="Arial" w:cs="Arial"/>
                          <w:sz w:val="22"/>
                          <w:szCs w:val="22"/>
                          <w:lang w:val="en-CA"/>
                        </w:rPr>
                        <w:t>represas</w:t>
                      </w:r>
                      <w:proofErr w:type="spellEnd"/>
                      <w:r w:rsidR="0052561C">
                        <w:rPr>
                          <w:rFonts w:ascii="Arial" w:hAnsi="Arial" w:cs="Arial"/>
                          <w:sz w:val="22"/>
                          <w:szCs w:val="22"/>
                          <w:lang w:val="en-CA"/>
                        </w:rPr>
                        <w:t xml:space="preserve"> </w:t>
                      </w:r>
                      <w:r w:rsidRPr="00DE7D4F">
                        <w:rPr>
                          <w:rFonts w:ascii="Arial" w:hAnsi="Arial" w:cs="Arial"/>
                          <w:sz w:val="22"/>
                          <w:szCs w:val="22"/>
                          <w:lang w:val="es-MX"/>
                        </w:rPr>
                        <w:t>describen cómo el propietario de una represa es responsable de identificar, evaluar y mitigar los riesgos para la seguridad pública causados por la presencia y operación de su instalación. Las directrices proporcionan detalles sobre cómo definir políticas y objetivos, evaluar sistemáticamente los riesgos existentes, desarrollar e implementar medidas de control para mitigar riesgos, y monitorear la efectividad de dichas medidas. Hatch ha aplicado estas directrices al realizar evaluaciones de riesgos y preparar planes de gestión para propietarios de represas en más de 80 sitios en todo Canadá. El equipo de Hatch ha aprendido que la aplicación exitosa de las directrices comienza con que el propietario de la represa desarrolle una comprensión clara de su tolerancia al riesgo. Además, los evaluadores deben tener un buen entendimiento de los peligros específicos del sitio y de los patrones de interacción del público; la participación de los operadores de la represa es crucial para llevar a cabo una evaluación de riesgos efectiva. Finalmente, mitigar los riesgos requiere el desarrollo e implementación de medidas de control que equilibren la practicidad con la efectividad esperada. Garantizar la seguridad pública en una represa depende de que el propietario desarrolle cuidadosamente y mejore continuamente su sistema de gestión</w:t>
                      </w:r>
                      <w:r w:rsidR="00A45574">
                        <w:rPr>
                          <w:rFonts w:ascii="Arial" w:hAnsi="Arial" w:cs="Arial"/>
                          <w:sz w:val="22"/>
                          <w:szCs w:val="22"/>
                          <w:lang w:val="es-MX"/>
                        </w:rPr>
                        <w:t xml:space="preserve"> de </w:t>
                      </w:r>
                      <w:proofErr w:type="spellStart"/>
                      <w:r w:rsidR="00A45574">
                        <w:rPr>
                          <w:rFonts w:ascii="Arial" w:hAnsi="Arial" w:cs="Arial"/>
                          <w:sz w:val="22"/>
                          <w:szCs w:val="22"/>
                          <w:lang w:val="es-MX"/>
                        </w:rPr>
                        <w:t>riezgo</w:t>
                      </w:r>
                      <w:proofErr w:type="spellEnd"/>
                      <w:r w:rsidRPr="00DE7D4F">
                        <w:rPr>
                          <w:rFonts w:ascii="Arial" w:hAnsi="Arial" w:cs="Arial"/>
                          <w:sz w:val="22"/>
                          <w:szCs w:val="22"/>
                          <w:lang w:val="es-MX"/>
                        </w:rPr>
                        <w:t>.</w:t>
                      </w: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9"/>
      <w:footerReference w:type="default" r:id="rId10"/>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5998A" w14:textId="77777777" w:rsidR="003E09B0" w:rsidRDefault="003E09B0">
      <w:r>
        <w:separator/>
      </w:r>
    </w:p>
  </w:endnote>
  <w:endnote w:type="continuationSeparator" w:id="0">
    <w:p w14:paraId="6566EDAF" w14:textId="77777777" w:rsidR="003E09B0" w:rsidRDefault="003E0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Footer"/>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40BA56A7" w:rsidR="00413342" w:rsidRPr="00EA6D3B" w:rsidRDefault="003D0705">
                          <w:pPr>
                            <w:rPr>
                              <w:rFonts w:ascii="Arial" w:hAnsi="Arial" w:cs="Arial"/>
                              <w:sz w:val="22"/>
                              <w:szCs w:val="22"/>
                            </w:rPr>
                          </w:pPr>
                          <w:r>
                            <w:rPr>
                              <w:rFonts w:ascii="Arial" w:hAnsi="Arial" w:cs="Arial"/>
                              <w:sz w:val="22"/>
                              <w:szCs w:val="22"/>
                            </w:rPr>
                            <w:t>Greg Schellenberg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40BA56A7" w:rsidR="00413342" w:rsidRPr="00EA6D3B" w:rsidRDefault="003D0705">
                    <w:pPr>
                      <w:rPr>
                        <w:rFonts w:ascii="Arial" w:hAnsi="Arial" w:cs="Arial"/>
                        <w:sz w:val="22"/>
                        <w:szCs w:val="22"/>
                      </w:rPr>
                    </w:pPr>
                    <w:r>
                      <w:rPr>
                        <w:rFonts w:ascii="Arial" w:hAnsi="Arial" w:cs="Arial"/>
                        <w:sz w:val="22"/>
                        <w:szCs w:val="22"/>
                      </w:rPr>
                      <w:t>Greg Schellenberg</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4784B" w14:textId="77777777" w:rsidR="003E09B0" w:rsidRDefault="003E09B0">
      <w:r>
        <w:separator/>
      </w:r>
    </w:p>
  </w:footnote>
  <w:footnote w:type="continuationSeparator" w:id="0">
    <w:p w14:paraId="19E3863F" w14:textId="77777777" w:rsidR="003E09B0" w:rsidRDefault="003E0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275CB"/>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0705"/>
    <w:rsid w:val="003D7759"/>
    <w:rsid w:val="003E09B0"/>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2561C"/>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124B"/>
    <w:rsid w:val="0079268B"/>
    <w:rsid w:val="007A2A53"/>
    <w:rsid w:val="007A54C7"/>
    <w:rsid w:val="007B071F"/>
    <w:rsid w:val="007B1BDE"/>
    <w:rsid w:val="007B2330"/>
    <w:rsid w:val="007B4666"/>
    <w:rsid w:val="007B6296"/>
    <w:rsid w:val="007C023D"/>
    <w:rsid w:val="007C101E"/>
    <w:rsid w:val="007C47B7"/>
    <w:rsid w:val="007C711D"/>
    <w:rsid w:val="007D2627"/>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0A95"/>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289F"/>
    <w:rsid w:val="00A26D2F"/>
    <w:rsid w:val="00A31126"/>
    <w:rsid w:val="00A348A1"/>
    <w:rsid w:val="00A34F8A"/>
    <w:rsid w:val="00A3653E"/>
    <w:rsid w:val="00A37663"/>
    <w:rsid w:val="00A4064B"/>
    <w:rsid w:val="00A42011"/>
    <w:rsid w:val="00A45574"/>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5650"/>
    <w:rsid w:val="00CA7783"/>
    <w:rsid w:val="00CB0D7E"/>
    <w:rsid w:val="00CB187B"/>
    <w:rsid w:val="00CB3190"/>
    <w:rsid w:val="00CB48AB"/>
    <w:rsid w:val="00CB5B17"/>
    <w:rsid w:val="00CB7064"/>
    <w:rsid w:val="00CB75FF"/>
    <w:rsid w:val="00CC0672"/>
    <w:rsid w:val="00CC4A30"/>
    <w:rsid w:val="00CC7DEF"/>
    <w:rsid w:val="00CD29F5"/>
    <w:rsid w:val="00CD48DB"/>
    <w:rsid w:val="00CD4BC1"/>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E7D4F"/>
    <w:rsid w:val="00DF1F9B"/>
    <w:rsid w:val="00DF7421"/>
    <w:rsid w:val="00E03B9D"/>
    <w:rsid w:val="00E06100"/>
    <w:rsid w:val="00E1203B"/>
    <w:rsid w:val="00E13B33"/>
    <w:rsid w:val="00E2431A"/>
    <w:rsid w:val="00E24444"/>
    <w:rsid w:val="00E27C2D"/>
    <w:rsid w:val="00E32E42"/>
    <w:rsid w:val="00E33A8D"/>
    <w:rsid w:val="00E3516D"/>
    <w:rsid w:val="00E37D58"/>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23CD"/>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37477"/>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2553C"/>
    <w:pPr>
      <w:tabs>
        <w:tab w:val="center" w:pos="4320"/>
        <w:tab w:val="right" w:pos="8640"/>
      </w:tabs>
    </w:pPr>
  </w:style>
  <w:style w:type="paragraph" w:styleId="Footer">
    <w:name w:val="footer"/>
    <w:basedOn w:val="Normal"/>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eg.schellenberg@hatch.com" TargetMode="External"/><Relationship Id="rId3" Type="http://schemas.openxmlformats.org/officeDocument/2006/relationships/settings" Target="settings.xml"/><Relationship Id="rId7" Type="http://schemas.openxmlformats.org/officeDocument/2006/relationships/hyperlink" Target="mailto:greg.schellenberg@hatch.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211</Words>
  <Characters>1460</Characters>
  <Application>Microsoft Office Word</Application>
  <DocSecurity>0</DocSecurity>
  <Lines>85</Lines>
  <Paragraphs>29</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Schellenberg, Greg</cp:lastModifiedBy>
  <cp:revision>13</cp:revision>
  <cp:lastPrinted>2025-08-10T23:03:00Z</cp:lastPrinted>
  <dcterms:created xsi:type="dcterms:W3CDTF">2025-10-17T18:00:00Z</dcterms:created>
  <dcterms:modified xsi:type="dcterms:W3CDTF">2025-10-17T19:55:00Z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